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1B2" w:rsidRPr="002C28C2" w:rsidRDefault="00CE0437" w:rsidP="005302FA">
      <w:pPr>
        <w:tabs>
          <w:tab w:val="left" w:pos="310"/>
          <w:tab w:val="center" w:pos="4680"/>
        </w:tabs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>Figure S1</w:t>
      </w:r>
      <w:r w:rsidR="0053227B">
        <w:rPr>
          <w:rFonts w:ascii="Times New Roman" w:hAnsi="Times New Roman" w:cs="Times New Roman"/>
          <w:sz w:val="22"/>
          <w:szCs w:val="22"/>
        </w:rPr>
        <w:tab/>
      </w:r>
      <w:r w:rsidR="0053227B">
        <w:rPr>
          <w:rFonts w:ascii="Times New Roman" w:hAnsi="Times New Roman" w:cs="Times New Roman"/>
          <w:sz w:val="22"/>
          <w:szCs w:val="22"/>
        </w:rPr>
        <w:tab/>
      </w:r>
    </w:p>
    <w:p w:rsidR="00F951B2" w:rsidRDefault="00F951B2" w:rsidP="00F951B2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F951B2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F951B2">
      <w:pPr>
        <w:jc w:val="both"/>
        <w:rPr>
          <w:rFonts w:ascii="Times New Roman" w:hAnsi="Times New Roman" w:cs="Times New Roman"/>
          <w:sz w:val="22"/>
          <w:szCs w:val="22"/>
        </w:rPr>
        <w:sectPr w:rsidR="008D37B0" w:rsidSect="00F951B2">
          <w:headerReference w:type="first" r:id="rId8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94794" w:rsidRDefault="00294794" w:rsidP="00294794">
      <w:pPr>
        <w:jc w:val="center"/>
        <w:rPr>
          <w:rFonts w:ascii="Arial" w:hAnsi="Arial" w:cs="Arial"/>
          <w:b/>
          <w:sz w:val="22"/>
          <w:szCs w:val="22"/>
        </w:rPr>
        <w:sectPr w:rsidR="00294794" w:rsidSect="0029479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3131CB0" wp14:editId="6F4075BC">
            <wp:extent cx="3773010" cy="383020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1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2" t="17459" r="27692" b="19739"/>
                    <a:stretch/>
                  </pic:blipFill>
                  <pic:spPr bwMode="auto">
                    <a:xfrm>
                      <a:off x="0" y="0"/>
                      <a:ext cx="3783969" cy="384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794" w:rsidRDefault="00294794" w:rsidP="00294794">
      <w:pPr>
        <w:jc w:val="center"/>
        <w:rPr>
          <w:rFonts w:ascii="Arial" w:hAnsi="Arial" w:cs="Arial"/>
          <w:b/>
          <w:sz w:val="22"/>
          <w:szCs w:val="22"/>
        </w:rPr>
      </w:pPr>
    </w:p>
    <w:p w:rsidR="004D07E1" w:rsidRPr="004D07E1" w:rsidRDefault="009157F5" w:rsidP="004D07E1">
      <w:pPr>
        <w:ind w:right="700"/>
        <w:rPr>
          <w:rFonts w:ascii="Times New Roman" w:hAnsi="Times New Roman" w:cs="Times New Roman"/>
          <w:sz w:val="20"/>
          <w:szCs w:val="20"/>
        </w:rPr>
      </w:pPr>
      <w:r w:rsidRPr="004D07E1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4D07E1" w:rsidRPr="004D07E1">
        <w:rPr>
          <w:rFonts w:ascii="Times New Roman" w:hAnsi="Times New Roman" w:cs="Times New Roman"/>
          <w:b/>
          <w:sz w:val="20"/>
          <w:szCs w:val="20"/>
        </w:rPr>
        <w:t>S1</w:t>
      </w:r>
      <w:r w:rsidRPr="004D07E1">
        <w:rPr>
          <w:rFonts w:ascii="Times New Roman" w:hAnsi="Times New Roman" w:cs="Times New Roman"/>
          <w:b/>
          <w:sz w:val="20"/>
          <w:szCs w:val="20"/>
        </w:rPr>
        <w:t>.</w:t>
      </w:r>
      <w:r w:rsidRPr="004D07E1">
        <w:rPr>
          <w:rFonts w:ascii="Times New Roman" w:hAnsi="Times New Roman" w:cs="Times New Roman"/>
          <w:sz w:val="20"/>
          <w:szCs w:val="20"/>
        </w:rPr>
        <w:t xml:space="preserve"> Heatmap demonstrates the top 60 DEGs in PDAC tumor and non-tumor tissues. Each columns present samples and rows present official gene symbols.  The gene expression values are converted base-2 logarithmic. The heatmap represents 30 downregulated genes (blue) and 30 upregulated genes (red). The down-to-up-regulated DEGs are represented by the gradual color change from blue to red.</w:t>
      </w:r>
      <w:r w:rsidR="004D07E1" w:rsidRPr="004D07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07E1" w:rsidRPr="004D07E1" w:rsidRDefault="004D07E1" w:rsidP="004D07E1">
      <w:pPr>
        <w:ind w:right="700"/>
        <w:rPr>
          <w:rFonts w:ascii="Times New Roman" w:hAnsi="Times New Roman" w:cs="Times New Roman"/>
          <w:b/>
          <w:sz w:val="20"/>
          <w:szCs w:val="20"/>
        </w:rPr>
      </w:pPr>
    </w:p>
    <w:p w:rsidR="004D07E1" w:rsidRDefault="004D07E1" w:rsidP="004D07E1">
      <w:pPr>
        <w:spacing w:line="399" w:lineRule="exact"/>
        <w:ind w:right="700"/>
        <w:rPr>
          <w:rFonts w:ascii="Times New Roman" w:hAnsi="Times New Roman" w:cs="Times New Roman"/>
          <w:b/>
          <w:sz w:val="20"/>
          <w:szCs w:val="20"/>
        </w:rPr>
      </w:pPr>
    </w:p>
    <w:p w:rsidR="00A166EB" w:rsidRDefault="00A166EB" w:rsidP="004D07E1">
      <w:pPr>
        <w:spacing w:line="399" w:lineRule="exact"/>
        <w:ind w:right="700"/>
        <w:rPr>
          <w:rFonts w:ascii="Times New Roman" w:hAnsi="Times New Roman" w:cs="Times New Roman"/>
          <w:b/>
          <w:sz w:val="20"/>
          <w:szCs w:val="20"/>
        </w:rPr>
      </w:pPr>
    </w:p>
    <w:p w:rsidR="00A166EB" w:rsidRDefault="00A166EB" w:rsidP="004D07E1">
      <w:pPr>
        <w:spacing w:line="399" w:lineRule="exact"/>
        <w:ind w:right="700"/>
        <w:rPr>
          <w:rFonts w:ascii="Times New Roman" w:hAnsi="Times New Roman" w:cs="Times New Roman"/>
          <w:b/>
          <w:sz w:val="20"/>
          <w:szCs w:val="20"/>
        </w:rPr>
      </w:pPr>
    </w:p>
    <w:p w:rsidR="00A166EB" w:rsidRDefault="00A166EB" w:rsidP="004D07E1">
      <w:pPr>
        <w:spacing w:line="399" w:lineRule="exact"/>
        <w:ind w:right="700"/>
        <w:rPr>
          <w:rFonts w:ascii="Times New Roman" w:hAnsi="Times New Roman" w:cs="Times New Roman"/>
          <w:b/>
          <w:sz w:val="20"/>
          <w:szCs w:val="20"/>
        </w:rPr>
      </w:pPr>
    </w:p>
    <w:p w:rsidR="00A166EB" w:rsidRDefault="00A166EB" w:rsidP="004D07E1">
      <w:pPr>
        <w:spacing w:line="399" w:lineRule="exact"/>
        <w:ind w:right="700"/>
        <w:rPr>
          <w:rFonts w:ascii="Times New Roman" w:hAnsi="Times New Roman" w:cs="Times New Roman"/>
          <w:b/>
          <w:sz w:val="20"/>
          <w:szCs w:val="20"/>
        </w:rPr>
      </w:pPr>
    </w:p>
    <w:p w:rsidR="00A166EB" w:rsidRDefault="00A166EB" w:rsidP="004D07E1">
      <w:pPr>
        <w:spacing w:line="399" w:lineRule="exact"/>
        <w:ind w:right="700"/>
        <w:rPr>
          <w:rFonts w:ascii="Times New Roman" w:hAnsi="Times New Roman" w:cs="Times New Roman"/>
          <w:b/>
          <w:sz w:val="20"/>
          <w:szCs w:val="20"/>
        </w:rPr>
      </w:pPr>
    </w:p>
    <w:p w:rsidR="00A166EB" w:rsidRDefault="00A166EB" w:rsidP="004D07E1">
      <w:pPr>
        <w:spacing w:line="399" w:lineRule="exact"/>
        <w:ind w:right="700"/>
        <w:rPr>
          <w:rFonts w:ascii="Times New Roman" w:hAnsi="Times New Roman" w:cs="Times New Roman"/>
          <w:b/>
          <w:sz w:val="20"/>
          <w:szCs w:val="20"/>
        </w:rPr>
      </w:pPr>
    </w:p>
    <w:p w:rsidR="00A166EB" w:rsidRDefault="00A166EB" w:rsidP="004D07E1">
      <w:pPr>
        <w:spacing w:line="399" w:lineRule="exact"/>
        <w:ind w:right="700"/>
        <w:rPr>
          <w:rFonts w:ascii="Times New Roman" w:hAnsi="Times New Roman" w:cs="Times New Roman"/>
          <w:b/>
          <w:sz w:val="20"/>
          <w:szCs w:val="20"/>
        </w:rPr>
      </w:pPr>
    </w:p>
    <w:p w:rsidR="00A166EB" w:rsidRDefault="00A166EB" w:rsidP="004D07E1">
      <w:pPr>
        <w:spacing w:line="399" w:lineRule="exact"/>
        <w:ind w:right="700"/>
        <w:rPr>
          <w:rFonts w:ascii="Times New Roman" w:hAnsi="Times New Roman" w:cs="Times New Roman"/>
          <w:b/>
          <w:sz w:val="20"/>
          <w:szCs w:val="20"/>
        </w:rPr>
      </w:pPr>
    </w:p>
    <w:p w:rsidR="00A166EB" w:rsidRDefault="00A166EB" w:rsidP="004D07E1">
      <w:pPr>
        <w:spacing w:line="399" w:lineRule="exact"/>
        <w:ind w:right="700"/>
        <w:rPr>
          <w:rFonts w:ascii="Times New Roman" w:hAnsi="Times New Roman" w:cs="Times New Roman"/>
          <w:b/>
          <w:sz w:val="20"/>
          <w:szCs w:val="20"/>
        </w:rPr>
      </w:pPr>
    </w:p>
    <w:p w:rsidR="004D07E1" w:rsidRPr="00CF30DA" w:rsidRDefault="004D07E1" w:rsidP="004D07E1">
      <w:pPr>
        <w:spacing w:line="399" w:lineRule="exact"/>
        <w:ind w:right="700"/>
        <w:rPr>
          <w:rFonts w:ascii="Times New Roman" w:hAnsi="Times New Roman" w:cs="Times New Roman"/>
          <w:sz w:val="20"/>
          <w:szCs w:val="20"/>
        </w:rPr>
      </w:pPr>
      <w:r w:rsidRPr="00CF30D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0"/>
          <w:szCs w:val="20"/>
        </w:rPr>
        <w:t>S1</w:t>
      </w:r>
      <w:r w:rsidRPr="00CF30DA">
        <w:rPr>
          <w:rFonts w:ascii="Times New Roman" w:hAnsi="Times New Roman" w:cs="Times New Roman"/>
          <w:sz w:val="20"/>
          <w:szCs w:val="20"/>
        </w:rPr>
        <w:t xml:space="preserve">. GO annotation results of the DEGs from 50 tumor and 61 adjacent non-tumor tissues of PDAC patients. </w:t>
      </w:r>
      <w:r w:rsidRPr="00CF30DA">
        <w:rPr>
          <w:rFonts w:ascii="Times New Roman" w:hAnsi="Times New Roman" w:cs="Times New Roman"/>
          <w:b/>
          <w:sz w:val="20"/>
          <w:szCs w:val="20"/>
        </w:rPr>
        <w:t>A,</w:t>
      </w:r>
      <w:r w:rsidRPr="00CF30DA">
        <w:rPr>
          <w:rFonts w:ascii="Times New Roman" w:hAnsi="Times New Roman" w:cs="Times New Roman"/>
          <w:sz w:val="20"/>
          <w:szCs w:val="20"/>
        </w:rPr>
        <w:t xml:space="preserve"> </w:t>
      </w:r>
      <w:r w:rsidRPr="00CF30DA">
        <w:rPr>
          <w:rFonts w:ascii="Times New Roman" w:hAnsi="Times New Roman" w:cs="Times New Roman"/>
          <w:b/>
          <w:sz w:val="20"/>
          <w:szCs w:val="20"/>
        </w:rPr>
        <w:t>Down</w:t>
      </w:r>
      <w:r w:rsidRPr="00CF30DA">
        <w:rPr>
          <w:rFonts w:ascii="Cambria Math" w:eastAsia="MS PMincho" w:hAnsi="Cambria Math" w:cs="Cambria Math"/>
          <w:b/>
          <w:sz w:val="20"/>
          <w:szCs w:val="20"/>
        </w:rPr>
        <w:t>‑</w:t>
      </w:r>
      <w:r w:rsidRPr="00CF30DA">
        <w:rPr>
          <w:rFonts w:ascii="Times New Roman" w:hAnsi="Times New Roman" w:cs="Times New Roman"/>
          <w:b/>
          <w:sz w:val="20"/>
          <w:szCs w:val="20"/>
        </w:rPr>
        <w:t>regulated</w:t>
      </w:r>
    </w:p>
    <w:p w:rsidR="004D07E1" w:rsidRPr="00CF30DA" w:rsidRDefault="004D07E1" w:rsidP="004D07E1">
      <w:pPr>
        <w:spacing w:line="20" w:lineRule="exact"/>
        <w:rPr>
          <w:rFonts w:ascii="Times New Roman" w:hAnsi="Times New Roman" w:cs="Times New Roman"/>
          <w:sz w:val="20"/>
          <w:szCs w:val="20"/>
        </w:rPr>
      </w:pPr>
      <w:r w:rsidRPr="00CF30D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48B5C1C" wp14:editId="315979E3">
                <wp:simplePos x="0" y="0"/>
                <wp:positionH relativeFrom="column">
                  <wp:posOffset>-5715</wp:posOffset>
                </wp:positionH>
                <wp:positionV relativeFrom="paragraph">
                  <wp:posOffset>-237490</wp:posOffset>
                </wp:positionV>
                <wp:extent cx="6479540" cy="0"/>
                <wp:effectExtent l="0" t="0" r="0" b="0"/>
                <wp:wrapNone/>
                <wp:docPr id="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2FDD852" id="Line 11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-18.7pt" to="509.75pt,-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" strokeweight=".5pt">
                <o:lock v:ext="edit" shapetype="f"/>
              </v:line>
            </w:pict>
          </mc:Fallback>
        </mc:AlternateContent>
      </w:r>
      <w:r w:rsidRPr="00CF30D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0A5B987" wp14:editId="00CB5580">
                <wp:simplePos x="0" y="0"/>
                <wp:positionH relativeFrom="column">
                  <wp:posOffset>-5715</wp:posOffset>
                </wp:positionH>
                <wp:positionV relativeFrom="paragraph">
                  <wp:posOffset>53975</wp:posOffset>
                </wp:positionV>
                <wp:extent cx="6479540" cy="0"/>
                <wp:effectExtent l="0" t="0" r="0" b="0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CADCA0" id="Line 12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4.25pt" to="509.7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" strokeweight=".5pt">
                <o:lock v:ext="edit" shapetype="f"/>
              </v:line>
            </w:pict>
          </mc:Fallback>
        </mc:AlternateContent>
      </w:r>
    </w:p>
    <w:p w:rsidR="004D07E1" w:rsidRPr="00CF30DA" w:rsidRDefault="004D07E1" w:rsidP="004D07E1">
      <w:pPr>
        <w:spacing w:line="103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1017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3060"/>
        <w:gridCol w:w="1080"/>
        <w:gridCol w:w="1170"/>
        <w:gridCol w:w="1080"/>
        <w:gridCol w:w="1800"/>
      </w:tblGrid>
      <w:tr w:rsidR="004D07E1" w:rsidRPr="00CF30DA" w:rsidTr="0040444F">
        <w:trPr>
          <w:trHeight w:val="338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Category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Term/gene function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  <w:t>count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ind w:right="3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23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  <w:r w:rsidRPr="00CF30DA">
              <w:rPr>
                <w:rFonts w:ascii="Cambria Math" w:eastAsia="MS PMincho" w:hAnsi="Cambria Math" w:cs="Cambria Math"/>
                <w:b/>
                <w:sz w:val="20"/>
                <w:szCs w:val="20"/>
              </w:rPr>
              <w:t>‑</w:t>
            </w: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value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4D07E1" w:rsidRPr="00CF30DA" w:rsidRDefault="004D07E1" w:rsidP="0040444F">
            <w:pPr>
              <w:spacing w:line="23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Genes</w:t>
            </w:r>
          </w:p>
        </w:tc>
      </w:tr>
      <w:tr w:rsidR="004D07E1" w:rsidRPr="00CF30DA" w:rsidTr="0040444F">
        <w:trPr>
          <w:trHeight w:val="79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557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GOTERM_BP</w:t>
            </w:r>
          </w:p>
        </w:tc>
        <w:tc>
          <w:tcPr>
            <w:tcW w:w="306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GO:0021942~radial glia guided migration of Purkinje cell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1.0929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0.02125823</w:t>
            </w:r>
          </w:p>
        </w:tc>
        <w:tc>
          <w:tcPr>
            <w:tcW w:w="180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DAB1, CTNNA2</w:t>
            </w:r>
          </w:p>
        </w:tc>
      </w:tr>
      <w:tr w:rsidR="004D07E1" w:rsidRPr="00CF30DA" w:rsidTr="0040444F">
        <w:trPr>
          <w:trHeight w:val="282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GOTERM_BP</w:t>
            </w:r>
          </w:p>
        </w:tc>
        <w:tc>
          <w:tcPr>
            <w:tcW w:w="306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GO:0021756~striatum development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1.0929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0.0461805</w:t>
            </w:r>
          </w:p>
        </w:tc>
        <w:tc>
          <w:tcPr>
            <w:tcW w:w="1800" w:type="dxa"/>
          </w:tcPr>
          <w:p w:rsidR="004D07E1" w:rsidRPr="00CF30DA" w:rsidRDefault="00CE0437" w:rsidP="0040444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DNAJB1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SLITRK5</w:t>
            </w:r>
          </w:p>
        </w:tc>
      </w:tr>
      <w:tr w:rsidR="004D07E1" w:rsidRPr="00CF30DA" w:rsidTr="0040444F">
        <w:trPr>
          <w:trHeight w:val="449"/>
        </w:trPr>
        <w:tc>
          <w:tcPr>
            <w:tcW w:w="1980" w:type="dxa"/>
            <w:shd w:val="clear" w:color="auto" w:fill="auto"/>
            <w:vAlign w:val="center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GOTERM_BP</w:t>
            </w:r>
          </w:p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GO:0016311~dephosphorylation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1.6393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0.05261072</w:t>
            </w:r>
          </w:p>
        </w:tc>
        <w:tc>
          <w:tcPr>
            <w:tcW w:w="1800" w:type="dxa"/>
            <w:vAlign w:val="center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ALPP, PON1, LPIN1</w:t>
            </w:r>
          </w:p>
        </w:tc>
      </w:tr>
      <w:tr w:rsidR="004D07E1" w:rsidRPr="00CF30DA" w:rsidTr="0040444F">
        <w:trPr>
          <w:trHeight w:val="350"/>
        </w:trPr>
        <w:tc>
          <w:tcPr>
            <w:tcW w:w="1980" w:type="dxa"/>
            <w:shd w:val="clear" w:color="auto" w:fill="auto"/>
            <w:vAlign w:val="center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GOTERM_BP</w:t>
            </w:r>
          </w:p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GO:0060134~prepulse inhibition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1.0929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0.05434804</w:t>
            </w:r>
          </w:p>
        </w:tc>
        <w:tc>
          <w:tcPr>
            <w:tcW w:w="1800" w:type="dxa"/>
            <w:vAlign w:val="center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FABP7, CTNNA2</w:t>
            </w:r>
          </w:p>
        </w:tc>
      </w:tr>
      <w:tr w:rsidR="004D07E1" w:rsidRPr="00CF30DA" w:rsidTr="0040444F">
        <w:trPr>
          <w:trHeight w:val="351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GOTERM_BP</w:t>
            </w:r>
          </w:p>
        </w:tc>
        <w:tc>
          <w:tcPr>
            <w:tcW w:w="306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GO:0007409~axonogenesis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1.6393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0.06623069</w:t>
            </w:r>
          </w:p>
        </w:tc>
        <w:tc>
          <w:tcPr>
            <w:tcW w:w="180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SLITRK5, KERA, CTNNA2</w:t>
            </w:r>
          </w:p>
        </w:tc>
      </w:tr>
      <w:tr w:rsidR="004D07E1" w:rsidRPr="00CF30DA" w:rsidTr="0040444F">
        <w:trPr>
          <w:trHeight w:val="351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GOTERM_MF</w:t>
            </w:r>
          </w:p>
        </w:tc>
        <w:tc>
          <w:tcPr>
            <w:tcW w:w="306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GO:0005261~cation channel activity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1.09290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0.09604912</w:t>
            </w:r>
          </w:p>
        </w:tc>
        <w:tc>
          <w:tcPr>
            <w:tcW w:w="180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CATSPER3, TRPM6</w:t>
            </w: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GOTERM_CC</w:t>
            </w:r>
          </w:p>
        </w:tc>
        <w:tc>
          <w:tcPr>
            <w:tcW w:w="306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GO:0014069~postsynaptic density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2.18579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0.04441086</w:t>
            </w:r>
          </w:p>
        </w:tc>
        <w:tc>
          <w:tcPr>
            <w:tcW w:w="180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DAB1, MAP1B, CTNNA2, MT3</w:t>
            </w: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GOTERM_CC</w:t>
            </w:r>
          </w:p>
        </w:tc>
        <w:tc>
          <w:tcPr>
            <w:tcW w:w="306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GO:0043025~neuronal cell body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7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2.73224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0.04615778</w:t>
            </w:r>
          </w:p>
        </w:tc>
        <w:tc>
          <w:tcPr>
            <w:tcW w:w="1800" w:type="dxa"/>
          </w:tcPr>
          <w:p w:rsidR="004D07E1" w:rsidRPr="00CF30DA" w:rsidRDefault="00CE0437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DNAJB1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DAB1, KLHL14, FABP7,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CENPE</w:t>
            </w: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GOTERM_CC</w:t>
            </w:r>
          </w:p>
        </w:tc>
        <w:tc>
          <w:tcPr>
            <w:tcW w:w="306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GO:0005615~extracellular space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7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6.01093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0.06080918</w:t>
            </w:r>
          </w:p>
        </w:tc>
        <w:tc>
          <w:tcPr>
            <w:tcW w:w="180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OLFM3, PON1, IFNK, KRT78, SOSTDC1, GAST, KERA, PXDNL, ANGPTL4, MT3, CPA4</w:t>
            </w: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GOTERM_CC</w:t>
            </w:r>
          </w:p>
        </w:tc>
        <w:tc>
          <w:tcPr>
            <w:tcW w:w="306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GO:0043197~dendritic spine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1.63934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0.06842851</w:t>
            </w:r>
          </w:p>
        </w:tc>
        <w:tc>
          <w:tcPr>
            <w:tcW w:w="180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TENM2, MAP1B, MT3</w:t>
            </w: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GOTERM_CC</w:t>
            </w:r>
          </w:p>
        </w:tc>
        <w:tc>
          <w:tcPr>
            <w:tcW w:w="306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GO:0043005~neuron projection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2.18579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0.08135679</w:t>
            </w:r>
          </w:p>
        </w:tc>
        <w:tc>
          <w:tcPr>
            <w:tcW w:w="180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TENM2, DAB1, KLHL14, STON2</w:t>
            </w: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KEGG_PATHWAY</w:t>
            </w:r>
          </w:p>
        </w:tc>
        <w:tc>
          <w:tcPr>
            <w:tcW w:w="306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hsa04670:Leukocyte transendothelial migration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1.63934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0.08903048</w:t>
            </w:r>
          </w:p>
        </w:tc>
        <w:tc>
          <w:tcPr>
            <w:tcW w:w="1800" w:type="dxa"/>
            <w:tcBorders>
              <w:bottom w:val="single" w:sz="4" w:space="0" w:color="000000" w:themeColor="text1"/>
            </w:tcBorders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PLCG2, CTNNA2, BCAR1</w:t>
            </w:r>
          </w:p>
        </w:tc>
      </w:tr>
    </w:tbl>
    <w:p w:rsidR="004D07E1" w:rsidRPr="00CF30DA" w:rsidRDefault="004D07E1" w:rsidP="004D07E1">
      <w:pPr>
        <w:spacing w:line="399" w:lineRule="exact"/>
        <w:ind w:right="700"/>
        <w:rPr>
          <w:rFonts w:ascii="Times New Roman" w:hAnsi="Times New Roman" w:cs="Times New Roman"/>
          <w:b/>
          <w:sz w:val="20"/>
          <w:szCs w:val="20"/>
        </w:rPr>
      </w:pPr>
      <w:r w:rsidRPr="00CF30DA">
        <w:rPr>
          <w:rFonts w:ascii="Times New Roman" w:hAnsi="Times New Roman" w:cs="Times New Roman"/>
          <w:b/>
          <w:sz w:val="20"/>
          <w:szCs w:val="20"/>
        </w:rPr>
        <w:t>B, Up</w:t>
      </w:r>
      <w:r w:rsidRPr="00CF30DA">
        <w:rPr>
          <w:rFonts w:ascii="Cambria Math" w:eastAsia="MS PMincho" w:hAnsi="Cambria Math" w:cs="Cambria Math"/>
          <w:b/>
          <w:sz w:val="20"/>
          <w:szCs w:val="20"/>
        </w:rPr>
        <w:t>‑</w:t>
      </w:r>
      <w:r w:rsidRPr="00CF30DA">
        <w:rPr>
          <w:rFonts w:ascii="Times New Roman" w:hAnsi="Times New Roman" w:cs="Times New Roman"/>
          <w:b/>
          <w:sz w:val="20"/>
          <w:szCs w:val="20"/>
        </w:rPr>
        <w:t>regulated</w:t>
      </w:r>
    </w:p>
    <w:p w:rsidR="004D07E1" w:rsidRPr="00CF30DA" w:rsidRDefault="004D07E1" w:rsidP="004D07E1">
      <w:pPr>
        <w:spacing w:line="20" w:lineRule="exact"/>
        <w:rPr>
          <w:rFonts w:ascii="Times New Roman" w:hAnsi="Times New Roman" w:cs="Times New Roman"/>
          <w:b/>
          <w:sz w:val="20"/>
          <w:szCs w:val="20"/>
        </w:rPr>
      </w:pPr>
      <w:r w:rsidRPr="00CF30DA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39BC0BB" wp14:editId="593D865F">
                <wp:simplePos x="0" y="0"/>
                <wp:positionH relativeFrom="column">
                  <wp:posOffset>-5715</wp:posOffset>
                </wp:positionH>
                <wp:positionV relativeFrom="paragraph">
                  <wp:posOffset>-237490</wp:posOffset>
                </wp:positionV>
                <wp:extent cx="6479540" cy="0"/>
                <wp:effectExtent l="0" t="0" r="0" b="0"/>
                <wp:wrapNone/>
                <wp:docPr id="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2E4E8DA" id="Line 1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-18.7pt" to="509.75pt,-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" strokeweight=".5pt">
                <o:lock v:ext="edit" shapetype="f"/>
              </v:line>
            </w:pict>
          </mc:Fallback>
        </mc:AlternateContent>
      </w:r>
      <w:r w:rsidRPr="00CF30DA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858D7F2" wp14:editId="73613095">
                <wp:simplePos x="0" y="0"/>
                <wp:positionH relativeFrom="column">
                  <wp:posOffset>-5715</wp:posOffset>
                </wp:positionH>
                <wp:positionV relativeFrom="paragraph">
                  <wp:posOffset>53975</wp:posOffset>
                </wp:positionV>
                <wp:extent cx="6479540" cy="0"/>
                <wp:effectExtent l="0" t="0" r="0" b="0"/>
                <wp:wrapNone/>
                <wp:docPr id="1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FEB235A" id="Line 12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4.25pt" to="509.7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" strokeweight=".5pt">
                <o:lock v:ext="edit" shapetype="f"/>
              </v:line>
            </w:pict>
          </mc:Fallback>
        </mc:AlternateContent>
      </w:r>
    </w:p>
    <w:p w:rsidR="004D07E1" w:rsidRPr="00CF30DA" w:rsidRDefault="004D07E1" w:rsidP="004D07E1">
      <w:pPr>
        <w:spacing w:line="103" w:lineRule="exac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1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3325"/>
        <w:gridCol w:w="810"/>
        <w:gridCol w:w="995"/>
        <w:gridCol w:w="1080"/>
        <w:gridCol w:w="2430"/>
        <w:gridCol w:w="1260"/>
      </w:tblGrid>
      <w:tr w:rsidR="004D07E1" w:rsidRPr="00CF30DA" w:rsidTr="0040444F">
        <w:trPr>
          <w:trHeight w:val="338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Category</w:t>
            </w: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Term/gene function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  <w:t>C</w:t>
            </w:r>
            <w:r w:rsidRPr="00CF30DA"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  <w:t>ount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ind w:right="3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  <w:r w:rsidRPr="00CF30DA">
              <w:rPr>
                <w:rFonts w:ascii="Cambria Math" w:eastAsia="MS PMincho" w:hAnsi="Cambria Math" w:cs="Cambria Math"/>
                <w:b/>
                <w:sz w:val="20"/>
                <w:szCs w:val="20"/>
              </w:rPr>
              <w:t>‑</w:t>
            </w: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value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4D07E1" w:rsidRPr="00CF30DA" w:rsidRDefault="004D07E1" w:rsidP="0040444F">
            <w:pPr>
              <w:spacing w:line="23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b/>
                <w:sz w:val="20"/>
                <w:szCs w:val="20"/>
              </w:rPr>
              <w:t>Genes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spacing w:line="23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D07E1" w:rsidRPr="00CF30DA" w:rsidTr="0040444F">
        <w:trPr>
          <w:trHeight w:val="79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82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GOTERM_BP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GO:0000184~nuclear-transcribed mRNA catabolic process, nonsense-mediated decay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6.80851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5.02E-12</w:t>
            </w:r>
          </w:p>
        </w:tc>
        <w:tc>
          <w:tcPr>
            <w:tcW w:w="2430" w:type="dxa"/>
          </w:tcPr>
          <w:p w:rsidR="004D07E1" w:rsidRPr="00CF30DA" w:rsidRDefault="00CE0437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PDI6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RPL30, RPL10, RPLP1, RPS6, RPL8, PNRC2, RPL7A, RPS25, RPL18A, PPP2R1A, PABPC1, RPL39, RPS24, RPS23,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RALB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82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GOTERM_BP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GO:0006413~translational initiation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6.80851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3.95E-11</w:t>
            </w:r>
          </w:p>
        </w:tc>
        <w:tc>
          <w:tcPr>
            <w:tcW w:w="2430" w:type="dxa"/>
          </w:tcPr>
          <w:p w:rsidR="004D07E1" w:rsidRPr="00CF30DA" w:rsidRDefault="00CE0437" w:rsidP="0040444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PDI6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RPL30, RPL10, RPLP1, RPS6, RPL8, EIF1, RPL7A, RPS25, EIF2S3, RPL18A, PABPC1, RPL39, RPS24, RPS23,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RALB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93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GOTERM_BP</w:t>
            </w:r>
          </w:p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GO:0006614~SRP-dependent cotranslational protein targeting to membrane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5.53191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6.22E-10</w:t>
            </w:r>
          </w:p>
        </w:tc>
        <w:tc>
          <w:tcPr>
            <w:tcW w:w="2430" w:type="dxa"/>
          </w:tcPr>
          <w:p w:rsidR="004D07E1" w:rsidRPr="00CF30DA" w:rsidRDefault="00CE0437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PDI6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RPL30, RPL10, RPLP1, RPS6, RPL8, RPL7A, RPS25, RPL18A, RPL39, RPS24, RPS23,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RALB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93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GOTERM_BP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GO:0019083~viral transcription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5.53191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4.82E-09</w:t>
            </w:r>
          </w:p>
        </w:tc>
        <w:tc>
          <w:tcPr>
            <w:tcW w:w="2430" w:type="dxa"/>
          </w:tcPr>
          <w:p w:rsidR="004D07E1" w:rsidRPr="00CF30DA" w:rsidRDefault="00CE0437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PDI6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RPL30, RPL10, RPLP1, RPS6, RPL8, RPL7A, RPS25, RPL18A, RPL39, RPS24, RPS23,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RALB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351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GOTERM_BP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GO:0006412~translation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6.38298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1.08E-06</w:t>
            </w:r>
          </w:p>
        </w:tc>
        <w:tc>
          <w:tcPr>
            <w:tcW w:w="2430" w:type="dxa"/>
          </w:tcPr>
          <w:p w:rsidR="004D07E1" w:rsidRPr="00CF30DA" w:rsidRDefault="00CE0437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PDI6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RPL30, RPL10, RPLP1, RPS6, RPL8, RPL7A, RPS25, RPL18A, SLC25A5, RPL39, RPS24, SLC25A6, RPS23,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RALB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GOTERM_MF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GO:0044822~poly(A) RNA binding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17.0213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7.38E-11</w:t>
            </w:r>
          </w:p>
        </w:tc>
        <w:tc>
          <w:tcPr>
            <w:tcW w:w="243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GOTERM_MF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GO:0005515~protein binding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58.7234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1.59E-10</w:t>
            </w:r>
          </w:p>
        </w:tc>
        <w:tc>
          <w:tcPr>
            <w:tcW w:w="243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GOTERM_MF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GO:0003735~structural constituent of ribosome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6.3830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1.41E-07</w:t>
            </w:r>
          </w:p>
        </w:tc>
        <w:tc>
          <w:tcPr>
            <w:tcW w:w="2430" w:type="dxa"/>
          </w:tcPr>
          <w:p w:rsidR="004D07E1" w:rsidRPr="00CF30DA" w:rsidRDefault="00CE0437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PDI6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RPL30, RPLP0P6, RPL10, RPLP1, RPS6, RPL8, RPL7A, RPL18A, SLC25A5, RPL39, RPS24, SLC25A6, RPS23,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RALB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GOTERM_MF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GO:0098641~cadherin binding involved in cell-cell adhesion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6.8085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6.44E-07</w:t>
            </w:r>
          </w:p>
        </w:tc>
        <w:tc>
          <w:tcPr>
            <w:tcW w:w="243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YWHAE, RAB1A, </w:t>
            </w:r>
            <w:r w:rsidR="00073E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HSPA4</w:t>
            </w: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ANXA1, SND1, RAB10, LIMA1, RPL7A, MYO1B, EIF2S3, SLK, EPCAM, KIF5B, PRDX1, </w:t>
            </w:r>
            <w:r w:rsidR="00CE04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CENPE</w:t>
            </w: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SPTBN1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GOTERM_MF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GO:0003723~RNA binding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8.0851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2.89E-05</w:t>
            </w:r>
          </w:p>
        </w:tc>
        <w:tc>
          <w:tcPr>
            <w:tcW w:w="2430" w:type="dxa"/>
          </w:tcPr>
          <w:p w:rsidR="004D07E1" w:rsidRPr="00CF30DA" w:rsidRDefault="00CE0437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PDI6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DDX18, RPL30, SSB, RPL8, DDX50, QKI, HSP90B1, RPL7A, RPS25, RPL18A, HNRNPH1, HNRNPA2B1, HNRNPD, PDCD4, PABPC1, SRSF5, RPL39,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RALB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GOTERM_CC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GO:0070062~extracellular exosome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38.2979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7.45E-25</w:t>
            </w:r>
          </w:p>
        </w:tc>
        <w:tc>
          <w:tcPr>
            <w:tcW w:w="2430" w:type="dxa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GOTERM_CC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GO:0031012~extracellular matrix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10.6383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6.89E-15</w:t>
            </w:r>
          </w:p>
        </w:tc>
        <w:tc>
          <w:tcPr>
            <w:tcW w:w="2430" w:type="dxa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RPL30, DDX5, PRKDC, ACTG1, HSP90B1, PRDX1, PRSS2, </w:t>
            </w:r>
            <w:r w:rsidR="00073E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HSPA4</w:t>
            </w: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MMP7, BGN, LAMB1, COL1A1, RPS25, COL3A1, MMP14, VCAN, SFRP2, COL1A2, CANX, VIM, P4HB, SLC25A5, GAPDH, FBN1, SLC25A6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GOTERM_CC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GO:0005925~focal adhesion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11.4894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5.36E-14</w:t>
            </w:r>
          </w:p>
        </w:tc>
        <w:tc>
          <w:tcPr>
            <w:tcW w:w="2430" w:type="dxa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YWHAE, </w:t>
            </w:r>
            <w:r w:rsidR="00CE04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PDI6</w:t>
            </w: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RPL30, RPLP1, RPL8, ACTB, ACTG1, HSP90B1, CORO1C, LIMA1, RPL7A, PPP1CC, B2M, JAK1, </w:t>
            </w:r>
            <w:r w:rsidR="00CE043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RALB</w:t>
            </w: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ACTR3, </w:t>
            </w:r>
            <w:r w:rsidR="00073E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HSPA4</w:t>
            </w: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ANXA1, ANXA5, ADAM10, MSN, RAB10, MMP14, ARPC2, VIM, PABPC1, P4HB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GOTERM_CC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GO:0016020~membrane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25.5319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2.68E-12</w:t>
            </w:r>
          </w:p>
        </w:tc>
        <w:tc>
          <w:tcPr>
            <w:tcW w:w="2430" w:type="dxa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GOTERM_CC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GO:0022625~cytosolic large ribosomal subunit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4.2553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3.49E-08</w:t>
            </w:r>
          </w:p>
        </w:tc>
        <w:tc>
          <w:tcPr>
            <w:tcW w:w="2430" w:type="dxa"/>
          </w:tcPr>
          <w:p w:rsidR="004D07E1" w:rsidRPr="00CF30DA" w:rsidRDefault="00CE0437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PDI6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RPL7A, RPL30, RPLP0P6, RPL10, RPL18A, RPLP1, RPL8, RPL39,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RALB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KEGG_PATHWAY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hsa03010:Ribosome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5.5319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2.38E-06</w:t>
            </w:r>
          </w:p>
        </w:tc>
        <w:tc>
          <w:tcPr>
            <w:tcW w:w="2430" w:type="dxa"/>
          </w:tcPr>
          <w:p w:rsidR="004D07E1" w:rsidRPr="00CF30DA" w:rsidRDefault="00CE0437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PDI6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RPL30, RPL10, RPLP1, RPS6, RPL8, RPL7A, RPS25, RPL18A, RPL39, RPS24, RPS23,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RALB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KEGG_PATHWAY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hsa04141:Protein processing in endoplasmic reticulum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5.5319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2.25E-05</w:t>
            </w:r>
          </w:p>
        </w:tc>
        <w:tc>
          <w:tcPr>
            <w:tcW w:w="2430" w:type="dxa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EDEM3, </w:t>
            </w:r>
            <w:r w:rsidR="00073E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HSPA4</w:t>
            </w: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TRAM1, EIF2AK1, SEL1L, HSP90B1, LMAN1, CANX, DNAJA2, DNAJC10, UBQLN1, SSR1, P4HB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KEGG_PATHWAY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hsa05169:Epstein-Barr virus infection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4.2553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1.87E-04</w:t>
            </w:r>
          </w:p>
        </w:tc>
        <w:tc>
          <w:tcPr>
            <w:tcW w:w="2430" w:type="dxa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USP7, MDM2, HLA-B, PLCG2, HLA-DRA, TNFAIP3, HLA-A, VIM, HLA-G, JAK1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KEGG_PATHWAY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hsa04612:Antigen processing and presentation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3.4042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2.56E-04</w:t>
            </w:r>
          </w:p>
        </w:tc>
        <w:tc>
          <w:tcPr>
            <w:tcW w:w="2430" w:type="dxa"/>
          </w:tcPr>
          <w:p w:rsidR="004D07E1" w:rsidRPr="00CF30DA" w:rsidRDefault="00073E15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HSPA4</w:t>
            </w:r>
            <w:r w:rsidR="004D07E1"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CD74, CANX, HLA-B, HLA-DRA, HLA-A, B2M, HLA-G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260"/>
        </w:trPr>
        <w:tc>
          <w:tcPr>
            <w:tcW w:w="1980" w:type="dxa"/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sz w:val="18"/>
                <w:szCs w:val="18"/>
              </w:rPr>
              <w:t>KEGG_PATHWAY</w:t>
            </w:r>
          </w:p>
        </w:tc>
        <w:tc>
          <w:tcPr>
            <w:tcW w:w="3325" w:type="dxa"/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hsa05168:Herpes simplex infection</w:t>
            </w:r>
          </w:p>
        </w:tc>
        <w:tc>
          <w:tcPr>
            <w:tcW w:w="81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5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4.6808</w:t>
            </w:r>
          </w:p>
        </w:tc>
        <w:tc>
          <w:tcPr>
            <w:tcW w:w="1080" w:type="dxa"/>
            <w:shd w:val="clear" w:color="auto" w:fill="auto"/>
          </w:tcPr>
          <w:p w:rsidR="004D07E1" w:rsidRPr="00CF30DA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9.22E-04</w:t>
            </w:r>
          </w:p>
        </w:tc>
        <w:tc>
          <w:tcPr>
            <w:tcW w:w="2430" w:type="dxa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F30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CD74, PPP1CC, USP7, EIF2AK1, CSNK2B, HLA-B, HLA-DRA, HLA-A, SRSF5, HLA-G, JAK1</w:t>
            </w:r>
          </w:p>
        </w:tc>
        <w:tc>
          <w:tcPr>
            <w:tcW w:w="1260" w:type="dxa"/>
          </w:tcPr>
          <w:p w:rsidR="004D07E1" w:rsidRPr="00CF30DA" w:rsidRDefault="004D07E1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CF30DA" w:rsidTr="0040444F">
        <w:trPr>
          <w:trHeight w:val="64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4D07E1" w:rsidRPr="00CF30DA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</w:tcPr>
          <w:p w:rsidR="00CE0437" w:rsidRPr="00CF30DA" w:rsidRDefault="00CE0437" w:rsidP="0040444F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4D07E1" w:rsidRDefault="004D07E1" w:rsidP="004D07E1">
      <w:pPr>
        <w:rPr>
          <w:rFonts w:ascii="Times New Roman" w:hAnsi="Times New Roman" w:cs="Times New Roman"/>
          <w:sz w:val="22"/>
          <w:szCs w:val="22"/>
        </w:rPr>
      </w:pPr>
    </w:p>
    <w:p w:rsidR="00A166EB" w:rsidRDefault="00A166EB" w:rsidP="004D07E1">
      <w:pPr>
        <w:rPr>
          <w:rFonts w:ascii="Times New Roman" w:hAnsi="Times New Roman" w:cs="Times New Roman"/>
          <w:sz w:val="22"/>
          <w:szCs w:val="22"/>
        </w:rPr>
      </w:pPr>
    </w:p>
    <w:p w:rsidR="00CE0437" w:rsidRPr="00CF30DA" w:rsidRDefault="00CE0437" w:rsidP="004D07E1">
      <w:pPr>
        <w:rPr>
          <w:rFonts w:ascii="Times New Roman" w:hAnsi="Times New Roman" w:cs="Times New Roman"/>
          <w:sz w:val="22"/>
          <w:szCs w:val="22"/>
        </w:rPr>
        <w:sectPr w:rsidR="00CE0437" w:rsidRPr="00CF30DA" w:rsidSect="004D07E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1357" w:type="dxa"/>
        <w:tblInd w:w="-635" w:type="dxa"/>
        <w:tblLook w:val="04A0" w:firstRow="1" w:lastRow="0" w:firstColumn="1" w:lastColumn="0" w:noHBand="0" w:noVBand="1"/>
      </w:tblPr>
      <w:tblGrid>
        <w:gridCol w:w="3330"/>
        <w:gridCol w:w="900"/>
        <w:gridCol w:w="1372"/>
        <w:gridCol w:w="5755"/>
      </w:tblGrid>
      <w:tr w:rsidR="004D07E1" w:rsidRPr="005A7390" w:rsidTr="0040444F">
        <w:trPr>
          <w:trHeight w:val="320"/>
        </w:trPr>
        <w:tc>
          <w:tcPr>
            <w:tcW w:w="11357" w:type="dxa"/>
            <w:gridSpan w:val="4"/>
            <w:tcBorders>
              <w:bottom w:val="single" w:sz="4" w:space="0" w:color="000000" w:themeColor="text1"/>
            </w:tcBorders>
            <w:shd w:val="clear" w:color="auto" w:fill="auto"/>
            <w:noWrap/>
          </w:tcPr>
          <w:p w:rsidR="004D07E1" w:rsidRPr="002B4A7E" w:rsidRDefault="004D07E1" w:rsidP="0040444F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B4A7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Table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S2</w:t>
            </w:r>
            <w:r w:rsidRPr="002B4A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 </w:t>
            </w:r>
            <w:r w:rsidRPr="002B4A7E">
              <w:rPr>
                <w:rFonts w:ascii="Times New Roman" w:hAnsi="Times New Roman" w:cs="Times New Roman"/>
                <w:sz w:val="20"/>
                <w:szCs w:val="20"/>
              </w:rPr>
              <w:t>Top 10 most excessive KEGG pathway enrichment analysis of global DEGs in PDAC tumor and non-tumor tissues micro-array gene expression dataset.</w:t>
            </w:r>
          </w:p>
        </w:tc>
      </w:tr>
      <w:tr w:rsidR="004D07E1" w:rsidRPr="005A7390" w:rsidTr="0040444F">
        <w:trPr>
          <w:trHeight w:val="320"/>
        </w:trPr>
        <w:tc>
          <w:tcPr>
            <w:tcW w:w="3330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B4A7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Term</w:t>
            </w:r>
          </w:p>
        </w:tc>
        <w:tc>
          <w:tcPr>
            <w:tcW w:w="900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B4A7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Count</w:t>
            </w:r>
          </w:p>
        </w:tc>
        <w:tc>
          <w:tcPr>
            <w:tcW w:w="1372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B4A7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5755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B4A7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Genes</w:t>
            </w:r>
          </w:p>
        </w:tc>
      </w:tr>
      <w:tr w:rsidR="004D07E1" w:rsidRPr="002B4A7E" w:rsidTr="0040444F">
        <w:trPr>
          <w:trHeight w:val="638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hsa04141:Protein processing in endoplasmic reticulum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3.08E-04</w:t>
            </w:r>
          </w:p>
        </w:tc>
        <w:tc>
          <w:tcPr>
            <w:tcW w:w="575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EDEM3, </w:t>
            </w:r>
            <w:r w:rsidR="00073E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HSPA4</w:t>
            </w: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LMAN1, TRAM1, EIF2AK1, SEL1L, DNAJA2, DNAJC10, UBQLN1, SSR1, P4HB, HSP90B1</w:t>
            </w:r>
          </w:p>
        </w:tc>
      </w:tr>
      <w:tr w:rsidR="004D07E1" w:rsidRPr="002B4A7E" w:rsidTr="0040444F">
        <w:trPr>
          <w:trHeight w:val="620"/>
        </w:trPr>
        <w:tc>
          <w:tcPr>
            <w:tcW w:w="333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hsa05169:Epstein-Barr virus infection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0.00198029</w:t>
            </w:r>
          </w:p>
        </w:tc>
        <w:tc>
          <w:tcPr>
            <w:tcW w:w="5755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USP7, MDM2, PLCG2, HLA-DRA, TNFAIP3, HLA-A, VIM, HLA-G, JAK1</w:t>
            </w:r>
          </w:p>
        </w:tc>
      </w:tr>
      <w:tr w:rsidR="004D07E1" w:rsidRPr="002B4A7E" w:rsidTr="0040444F">
        <w:trPr>
          <w:trHeight w:val="710"/>
        </w:trPr>
        <w:tc>
          <w:tcPr>
            <w:tcW w:w="333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hsa04611:Platelet activation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0.00294902</w:t>
            </w:r>
          </w:p>
        </w:tc>
        <w:tc>
          <w:tcPr>
            <w:tcW w:w="5755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COL1A1, PPP1CC, COL3A1, COL1A2, ROCK1, GNAQ, PLCG2, ACTB, ACTG1</w:t>
            </w:r>
          </w:p>
        </w:tc>
      </w:tr>
      <w:tr w:rsidR="004D07E1" w:rsidRPr="002B4A7E" w:rsidTr="0040444F">
        <w:trPr>
          <w:trHeight w:val="620"/>
        </w:trPr>
        <w:tc>
          <w:tcPr>
            <w:tcW w:w="333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hsa03010:Ribosome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0.0038922</w:t>
            </w:r>
          </w:p>
        </w:tc>
        <w:tc>
          <w:tcPr>
            <w:tcW w:w="5755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RPL7A, RPL10, RPL18A, RPLP1, RPS6, RPS3A, RPL8, RPL39, RPS23</w:t>
            </w:r>
          </w:p>
        </w:tc>
      </w:tr>
      <w:tr w:rsidR="004D07E1" w:rsidRPr="002B4A7E" w:rsidTr="0040444F">
        <w:trPr>
          <w:trHeight w:val="800"/>
        </w:trPr>
        <w:tc>
          <w:tcPr>
            <w:tcW w:w="333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hsa04670:Leukocyte transendothelial migration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0.00567818</w:t>
            </w:r>
          </w:p>
        </w:tc>
        <w:tc>
          <w:tcPr>
            <w:tcW w:w="5755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ROCK1, PECAM1, PLCG2, MSN, CTNNA2, ACTB, BCAR1, ACTG1</w:t>
            </w:r>
          </w:p>
        </w:tc>
      </w:tr>
      <w:tr w:rsidR="004D07E1" w:rsidRPr="002B4A7E" w:rsidTr="0040444F">
        <w:trPr>
          <w:trHeight w:val="620"/>
        </w:trPr>
        <w:tc>
          <w:tcPr>
            <w:tcW w:w="333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hsa04974:Protein digestion and absorption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0.00597994</w:t>
            </w:r>
          </w:p>
        </w:tc>
        <w:tc>
          <w:tcPr>
            <w:tcW w:w="5755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COL1A1, CPA2, COL3A1, CPA1, COL1A2, SLC38A2, PRSS2</w:t>
            </w:r>
          </w:p>
        </w:tc>
      </w:tr>
      <w:tr w:rsidR="004D07E1" w:rsidRPr="002B4A7E" w:rsidTr="0040444F">
        <w:trPr>
          <w:trHeight w:val="530"/>
        </w:trPr>
        <w:tc>
          <w:tcPr>
            <w:tcW w:w="333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hsa05168:Herpes simplex infection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0.00724955</w:t>
            </w:r>
          </w:p>
        </w:tc>
        <w:tc>
          <w:tcPr>
            <w:tcW w:w="5755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CD74, PPP1CC, USP7, EIF2AK1, CSNK2B, HLA-DRA, HLA-A, SRSF5, HLA-G, JAK1</w:t>
            </w:r>
          </w:p>
        </w:tc>
      </w:tr>
      <w:tr w:rsidR="004D07E1" w:rsidRPr="002B4A7E" w:rsidTr="0040444F">
        <w:trPr>
          <w:trHeight w:val="710"/>
        </w:trPr>
        <w:tc>
          <w:tcPr>
            <w:tcW w:w="333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hsa04612:Antigen processing and presentation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0.01371483</w:t>
            </w:r>
          </w:p>
        </w:tc>
        <w:tc>
          <w:tcPr>
            <w:tcW w:w="5755" w:type="dxa"/>
            <w:shd w:val="clear" w:color="auto" w:fill="auto"/>
            <w:noWrap/>
            <w:hideMark/>
          </w:tcPr>
          <w:p w:rsidR="004D07E1" w:rsidRPr="002B4A7E" w:rsidRDefault="00073E15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HSPA4</w:t>
            </w:r>
            <w:r w:rsidR="004D07E1"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CD74, HLA-DRA, HLA-A, B2M, HLA-G</w:t>
            </w:r>
          </w:p>
        </w:tc>
      </w:tr>
      <w:tr w:rsidR="004D07E1" w:rsidRPr="002B4A7E" w:rsidTr="0040444F">
        <w:trPr>
          <w:trHeight w:val="440"/>
        </w:trPr>
        <w:tc>
          <w:tcPr>
            <w:tcW w:w="333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hsa04510:Focal adhesion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0.01503298</w:t>
            </w:r>
          </w:p>
        </w:tc>
        <w:tc>
          <w:tcPr>
            <w:tcW w:w="5755" w:type="dxa"/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COL1A1, PDGFRA, PPP1CC, COL3A1, COL1A2, ROCK1, LAMB1, ACTB, BCAR1, ACTG1</w:t>
            </w:r>
          </w:p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D07E1" w:rsidRPr="002B4A7E" w:rsidTr="0040444F">
        <w:trPr>
          <w:trHeight w:val="558"/>
        </w:trPr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hsa05164:Influenza A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0.01624626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4D07E1" w:rsidRPr="002B4A7E" w:rsidRDefault="004D07E1" w:rsidP="0040444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IVNS1ABP, </w:t>
            </w:r>
            <w:r w:rsidR="00073E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HSPA4</w:t>
            </w:r>
            <w:r w:rsidRPr="002B4A7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EIF2AK1, HLA-DRA, NXT2, PRSS2, ACTB, JAK1, ACTG1</w:t>
            </w:r>
          </w:p>
        </w:tc>
      </w:tr>
    </w:tbl>
    <w:p w:rsidR="004D07E1" w:rsidRDefault="004D07E1" w:rsidP="004D07E1"/>
    <w:p w:rsidR="00294794" w:rsidRPr="009176F8" w:rsidRDefault="00294794" w:rsidP="009176F8">
      <w:pPr>
        <w:jc w:val="both"/>
        <w:rPr>
          <w:rFonts w:ascii="Arial" w:hAnsi="Arial" w:cs="Arial"/>
          <w:sz w:val="22"/>
          <w:szCs w:val="22"/>
        </w:rPr>
        <w:sectPr w:rsidR="00294794" w:rsidRPr="009176F8" w:rsidSect="0029479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367AF" w:rsidRDefault="007367AF" w:rsidP="009157F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9157F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157F5" w:rsidRDefault="009157F5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  <w:sectPr w:rsidR="009157F5" w:rsidSect="009157F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0538B" w:rsidRDefault="0050538B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7367AF" w:rsidRDefault="007367AF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9176F8" w:rsidRDefault="009176F8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9176F8" w:rsidRDefault="009176F8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9176F8" w:rsidRDefault="009176F8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9176F8" w:rsidRDefault="009176F8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p w:rsidR="008D37B0" w:rsidRDefault="008D37B0" w:rsidP="009157F5">
      <w:pPr>
        <w:tabs>
          <w:tab w:val="left" w:pos="1239"/>
        </w:tabs>
        <w:rPr>
          <w:rFonts w:ascii="Times New Roman" w:hAnsi="Times New Roman" w:cs="Times New Roman"/>
          <w:sz w:val="22"/>
          <w:szCs w:val="22"/>
        </w:rPr>
      </w:pPr>
    </w:p>
    <w:sectPr w:rsidR="008D37B0" w:rsidSect="00961E8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767" w:rsidRDefault="00BB0767" w:rsidP="00F951B2">
      <w:r>
        <w:separator/>
      </w:r>
    </w:p>
  </w:endnote>
  <w:endnote w:type="continuationSeparator" w:id="0">
    <w:p w:rsidR="00BB0767" w:rsidRDefault="00BB0767" w:rsidP="00F95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Cambria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767" w:rsidRDefault="00BB0767" w:rsidP="00F951B2">
      <w:r>
        <w:separator/>
      </w:r>
    </w:p>
  </w:footnote>
  <w:footnote w:type="continuationSeparator" w:id="0">
    <w:p w:rsidR="00BB0767" w:rsidRDefault="00BB0767" w:rsidP="00F95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F23" w:rsidRDefault="00335F23" w:rsidP="00335F23">
    <w:pPr>
      <w:pStyle w:val="Header"/>
      <w:ind w:right="360"/>
    </w:pPr>
  </w:p>
  <w:p w:rsidR="00335F23" w:rsidRDefault="00335F23">
    <w:pPr>
      <w:pStyle w:val="Header"/>
    </w:pPr>
  </w:p>
  <w:p w:rsidR="00335F23" w:rsidRDefault="00335F23" w:rsidP="00335F23">
    <w:pPr>
      <w:pStyle w:val="Header1"/>
    </w:pPr>
  </w:p>
  <w:p w:rsidR="00335F23" w:rsidRDefault="00335F23" w:rsidP="00335F23">
    <w:pPr>
      <w:pStyle w:val="Header1"/>
    </w:pPr>
  </w:p>
  <w:p w:rsidR="00335F23" w:rsidRDefault="00335F23" w:rsidP="00335F23">
    <w:pPr>
      <w:pStyle w:val="Header1"/>
    </w:pPr>
  </w:p>
  <w:p w:rsidR="00335F23" w:rsidRDefault="00335F23" w:rsidP="00335F23">
    <w:pPr>
      <w:pStyle w:val="Header1"/>
    </w:pPr>
  </w:p>
  <w:p w:rsidR="00335F23" w:rsidRDefault="00335F23" w:rsidP="00335F23">
    <w:pPr>
      <w:pStyle w:val="Header1"/>
    </w:pPr>
  </w:p>
  <w:p w:rsidR="00335F23" w:rsidRDefault="00335F23" w:rsidP="00335F23">
    <w:pPr>
      <w:pStyle w:val="Header1"/>
    </w:pPr>
  </w:p>
  <w:p w:rsidR="00335F23" w:rsidRDefault="00335F23" w:rsidP="00335F23">
    <w:pPr>
      <w:pStyle w:val="Header1"/>
    </w:pPr>
  </w:p>
  <w:p w:rsidR="00335F23" w:rsidRDefault="00335F23" w:rsidP="00335F23">
    <w:pPr>
      <w:pStyle w:val="Header1"/>
    </w:pPr>
    <w:r>
      <w:t xml:space="preserve">                                                                 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168DF"/>
    <w:multiLevelType w:val="hybridMultilevel"/>
    <w:tmpl w:val="B98232E2"/>
    <w:lvl w:ilvl="0" w:tplc="6B9226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1B2"/>
    <w:rsid w:val="0001151E"/>
    <w:rsid w:val="00073E15"/>
    <w:rsid w:val="00081BB7"/>
    <w:rsid w:val="00086CFF"/>
    <w:rsid w:val="001B3AF7"/>
    <w:rsid w:val="001B7F2C"/>
    <w:rsid w:val="0022113E"/>
    <w:rsid w:val="00233978"/>
    <w:rsid w:val="00294794"/>
    <w:rsid w:val="002A33B4"/>
    <w:rsid w:val="002B2BB0"/>
    <w:rsid w:val="002C28C2"/>
    <w:rsid w:val="002D03EC"/>
    <w:rsid w:val="00306B60"/>
    <w:rsid w:val="00335F23"/>
    <w:rsid w:val="003439C0"/>
    <w:rsid w:val="00366B37"/>
    <w:rsid w:val="003A3DD0"/>
    <w:rsid w:val="003E2B44"/>
    <w:rsid w:val="00401348"/>
    <w:rsid w:val="004121A1"/>
    <w:rsid w:val="004A67E3"/>
    <w:rsid w:val="004B0A72"/>
    <w:rsid w:val="004B4EA8"/>
    <w:rsid w:val="004C271F"/>
    <w:rsid w:val="004D07E1"/>
    <w:rsid w:val="0050538B"/>
    <w:rsid w:val="005302FA"/>
    <w:rsid w:val="0053227B"/>
    <w:rsid w:val="00536B65"/>
    <w:rsid w:val="00553C57"/>
    <w:rsid w:val="00570218"/>
    <w:rsid w:val="005A7390"/>
    <w:rsid w:val="005B4A7A"/>
    <w:rsid w:val="005D5664"/>
    <w:rsid w:val="005D6608"/>
    <w:rsid w:val="0060130D"/>
    <w:rsid w:val="00616351"/>
    <w:rsid w:val="006169B1"/>
    <w:rsid w:val="00661548"/>
    <w:rsid w:val="0067286C"/>
    <w:rsid w:val="006B5BF9"/>
    <w:rsid w:val="0073397D"/>
    <w:rsid w:val="007367AF"/>
    <w:rsid w:val="00736873"/>
    <w:rsid w:val="0075148D"/>
    <w:rsid w:val="007A1B72"/>
    <w:rsid w:val="008041FD"/>
    <w:rsid w:val="00832B6E"/>
    <w:rsid w:val="008460B7"/>
    <w:rsid w:val="008539AF"/>
    <w:rsid w:val="008B2100"/>
    <w:rsid w:val="008D37B0"/>
    <w:rsid w:val="00905D13"/>
    <w:rsid w:val="009157F5"/>
    <w:rsid w:val="009176F8"/>
    <w:rsid w:val="009407EF"/>
    <w:rsid w:val="0095270F"/>
    <w:rsid w:val="00961E89"/>
    <w:rsid w:val="009B2400"/>
    <w:rsid w:val="00A166EB"/>
    <w:rsid w:val="00A7703E"/>
    <w:rsid w:val="00AC142D"/>
    <w:rsid w:val="00B12E29"/>
    <w:rsid w:val="00B24214"/>
    <w:rsid w:val="00B551DC"/>
    <w:rsid w:val="00B631D0"/>
    <w:rsid w:val="00B72465"/>
    <w:rsid w:val="00B8279C"/>
    <w:rsid w:val="00BB0767"/>
    <w:rsid w:val="00BD0B00"/>
    <w:rsid w:val="00C347D6"/>
    <w:rsid w:val="00C90FB4"/>
    <w:rsid w:val="00CA7B6B"/>
    <w:rsid w:val="00CE0437"/>
    <w:rsid w:val="00CE26E1"/>
    <w:rsid w:val="00D45A92"/>
    <w:rsid w:val="00D62FB3"/>
    <w:rsid w:val="00D66796"/>
    <w:rsid w:val="00D72A21"/>
    <w:rsid w:val="00DA0153"/>
    <w:rsid w:val="00DA12C9"/>
    <w:rsid w:val="00E14AD4"/>
    <w:rsid w:val="00E562D5"/>
    <w:rsid w:val="00E61EAF"/>
    <w:rsid w:val="00EA3857"/>
    <w:rsid w:val="00F618AB"/>
    <w:rsid w:val="00F9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E77F366E-9069-994A-A4C9-9B3B439A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1">
    <w:name w:val="HeadL1"/>
    <w:aliases w:val="H1"/>
    <w:basedOn w:val="Normal"/>
    <w:next w:val="Normal"/>
    <w:rsid w:val="00F951B2"/>
    <w:pPr>
      <w:keepNext/>
      <w:tabs>
        <w:tab w:val="left" w:pos="360"/>
      </w:tabs>
      <w:spacing w:before="480" w:after="120" w:line="240" w:lineRule="atLeast"/>
      <w:ind w:left="360" w:hanging="360"/>
    </w:pPr>
    <w:rPr>
      <w:rFonts w:ascii="Times New Roman" w:eastAsia="Times New Roman" w:hAnsi="Times New Roman" w:cs="Times New Roman"/>
      <w:b/>
      <w:sz w:val="22"/>
    </w:rPr>
  </w:style>
  <w:style w:type="paragraph" w:styleId="NormalWeb">
    <w:name w:val="Normal (Web)"/>
    <w:basedOn w:val="Normal"/>
    <w:uiPriority w:val="99"/>
    <w:unhideWhenUsed/>
    <w:rsid w:val="00F951B2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951B2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F951B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95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1B2"/>
  </w:style>
  <w:style w:type="paragraph" w:styleId="Footer">
    <w:name w:val="footer"/>
    <w:basedOn w:val="Normal"/>
    <w:link w:val="FooterChar"/>
    <w:uiPriority w:val="99"/>
    <w:unhideWhenUsed/>
    <w:rsid w:val="00F95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1B2"/>
  </w:style>
  <w:style w:type="paragraph" w:customStyle="1" w:styleId="TableParagraph">
    <w:name w:val="Table Paragraph"/>
    <w:basedOn w:val="Normal"/>
    <w:uiPriority w:val="1"/>
    <w:qFormat/>
    <w:rsid w:val="009157F5"/>
    <w:pPr>
      <w:widowControl w:val="0"/>
      <w:autoSpaceDE w:val="0"/>
      <w:autoSpaceDN w:val="0"/>
      <w:spacing w:before="55"/>
    </w:pPr>
    <w:rPr>
      <w:rFonts w:ascii="Lato" w:eastAsia="Lato" w:hAnsi="Lato" w:cs="Lato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rsid w:val="00D72A21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B8279C"/>
    <w:pPr>
      <w:tabs>
        <w:tab w:val="left" w:pos="500"/>
      </w:tabs>
      <w:spacing w:after="240"/>
      <w:ind w:left="504" w:hanging="504"/>
    </w:pPr>
  </w:style>
  <w:style w:type="paragraph" w:customStyle="1" w:styleId="Header1">
    <w:name w:val="Header1"/>
    <w:aliases w:val="RH"/>
    <w:basedOn w:val="Normal"/>
    <w:rsid w:val="004B4EA8"/>
    <w:pPr>
      <w:tabs>
        <w:tab w:val="left" w:pos="720"/>
        <w:tab w:val="right" w:pos="7200"/>
      </w:tabs>
    </w:pPr>
    <w:rPr>
      <w:rFonts w:ascii="Times New Roman" w:eastAsia="Times New Roman" w:hAnsi="Times New Roman" w:cs="Times New Roman"/>
      <w:i/>
      <w:sz w:val="20"/>
    </w:rPr>
  </w:style>
  <w:style w:type="paragraph" w:customStyle="1" w:styleId="Normal1">
    <w:name w:val="Normal1"/>
    <w:rsid w:val="002A33B4"/>
    <w:pPr>
      <w:spacing w:line="276" w:lineRule="auto"/>
      <w:contextualSpacing/>
    </w:pPr>
    <w:rPr>
      <w:rFonts w:ascii="Arial" w:eastAsia="Arial" w:hAnsi="Arial" w:cs="Arial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347D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97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97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2AD999-358B-494C-A322-5F1865A56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Guven, Emine</dc:creator>
  <cp:keywords/>
  <dc:description/>
  <cp:lastModifiedBy>Nasrin</cp:lastModifiedBy>
  <cp:revision>2</cp:revision>
  <cp:lastPrinted>2021-07-12T12:34:00Z</cp:lastPrinted>
  <dcterms:created xsi:type="dcterms:W3CDTF">2022-01-16T08:43:00Z</dcterms:created>
  <dcterms:modified xsi:type="dcterms:W3CDTF">2022-01-16T08:43:00Z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zotero-version="5.0.96.2"&gt;&lt;session id="74wa0jtV"/&gt;&lt;style id="http://www.zotero.org/styles/vancouver" locale="en-US" hasBibliography="1" bibliographyStyleHasBeenSet="1"/&gt;&lt;prefs&gt;&lt;pref name="fieldType" value="Field"/&gt;&lt;pref name="automa</vt:lpwstr>
  </property>
  <property fmtid="{D5CDD505-2E9C-101B-9397-08002B2CF9AE}" pid="3" name="ZOTERO_PREF_2">
    <vt:lpwstr>ticJournalAbbreviations" value="true"/&gt;&lt;/prefs&gt;&lt;/data&gt;</vt:lpwstr>
  </property>
</Properties>
</file>